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240"/>
      </w:pPr>
      <w:r>
        <w:rPr>
          <w:rFonts w:ascii="Helvetica Neue" w:hAnsi="Helvetica Neue" w:cs="Helvetica Neue"/>
          <w:sz w:val="48"/>
          <w:sz-cs w:val="48"/>
          <w:b/>
          <w:spacing w:val="0"/>
          <w:color w:val="0D121F"/>
        </w:rPr>
        <w:t xml:space="preserve">First 30 Days Guide</w:t>
      </w:r>
    </w:p>
    <w:p>
      <w:pPr>
        <w:spacing w:after="280"/>
      </w:pP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Use this sequence to move from curiosity to one disciplined experiment.</w:t>
      </w:r>
    </w:p>
    <w:p>
      <w:pPr>
        <w:spacing w:after="240"/>
      </w:pPr>
      <w:r>
        <w:rPr>
          <w:rFonts w:ascii="Helvetica Neue" w:hAnsi="Helvetica Neue" w:cs="Helvetica Neue"/>
          <w:sz w:val="36"/>
          <w:sz-cs w:val="36"/>
          <w:b/>
          <w:spacing w:val="0"/>
          <w:color w:val="0D121F"/>
        </w:rPr>
        <w:t xml:space="preserve">Week 1: Understand The Ground Rules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Read a basic AI framework and identify low-risk vs high-risk uses.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Decide what sensitive information should stay out of public AI tools.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Pick one leader who owns the experiment.</w:t>
      </w:r>
    </w:p>
    <w:p>
      <w:pPr>
        <w:spacing w:after="240"/>
      </w:pPr>
      <w:r>
        <w:rPr>
          <w:rFonts w:ascii="Helvetica Neue" w:hAnsi="Helvetica Neue" w:cs="Helvetica Neue"/>
          <w:sz w:val="36"/>
          <w:sz-cs w:val="36"/>
          <w:b/>
          <w:spacing w:val="0"/>
          <w:color w:val="0D121F"/>
        </w:rPr>
        <w:t xml:space="preserve">Week 2: Build An Opportunity List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List repetitive work.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List intern-level tasks.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List important work that is consistently delayed.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Pick one problem that is painful, measurable, and low risk.</w:t>
      </w:r>
    </w:p>
    <w:p>
      <w:pPr>
        <w:spacing w:after="240"/>
      </w:pPr>
      <w:r>
        <w:rPr>
          <w:rFonts w:ascii="Helvetica Neue" w:hAnsi="Helvetica Neue" w:cs="Helvetica Neue"/>
          <w:sz w:val="36"/>
          <w:sz-cs w:val="36"/>
          <w:b/>
          <w:spacing w:val="0"/>
          <w:color w:val="0D121F"/>
        </w:rPr>
        <w:t xml:space="preserve">Week 3: Test One Workflow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Try one prompt or tool on a real task.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Compare the result to your current process.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Keep human review in place.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Note where the result is useful, weak, or risky.</w:t>
      </w:r>
    </w:p>
    <w:p>
      <w:pPr>
        <w:spacing w:after="240"/>
      </w:pPr>
      <w:r>
        <w:rPr>
          <w:rFonts w:ascii="Helvetica Neue" w:hAnsi="Helvetica Neue" w:cs="Helvetica Neue"/>
          <w:sz w:val="36"/>
          <w:sz-cs w:val="36"/>
          <w:b/>
          <w:spacing w:val="0"/>
          <w:color w:val="0D121F"/>
        </w:rPr>
        <w:t xml:space="preserve">Week 4: Decide What Comes Next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Measure time saved or quality improved.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Decide whether to stop, refine, or repeat.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Draft a short staff guidance note based on what you learned.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Identify the next question your team needs answered before scaling.</w:t>
      </w:r>
    </w:p>
    <w:p>
      <w:pPr>
        <w:spacing w:after="240"/>
      </w:pPr>
      <w:r>
        <w:rPr>
          <w:rFonts w:ascii="Helvetica Neue" w:hAnsi="Helvetica Neue" w:cs="Helvetica Neue"/>
          <w:sz w:val="36"/>
          <w:sz-cs w:val="36"/>
          <w:b/>
          <w:spacing w:val="0"/>
          <w:color w:val="0D121F"/>
        </w:rPr>
        <w:t xml:space="preserve">What Success Looks Like</w:t>
      </w:r>
    </w:p>
    <w:p>
      <w:pPr>
        <w:spacing w:after="280"/>
      </w:pP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At the end of 30 days, you should not aim to be "an AI organization." You should aim to know one workflow better, understand your risk boundaries more clearly, and have a more confident next step.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30 Days Guide</dc:title>
</cp:coreProperties>
</file>

<file path=docProps/meta.xml><?xml version="1.0" encoding="utf-8"?>
<meta xmlns="http://schemas.apple.com/cocoa/2006/metadata">
  <generator>CocoaOOXMLWriter/2685.4</generator>
</meta>
</file>